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4E" w:rsidRDefault="0037594E">
      <w:pPr>
        <w:rPr>
          <w:noProof/>
          <w:sz w:val="24"/>
          <w:szCs w:val="24"/>
          <w:lang w:eastAsia="pt-BR"/>
        </w:rPr>
      </w:pPr>
    </w:p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20EF9">
        <w:rPr>
          <w:rFonts w:ascii="Arial" w:hAnsi="Arial" w:cs="Arial"/>
          <w:b/>
          <w:sz w:val="24"/>
          <w:szCs w:val="24"/>
        </w:rPr>
        <w:t>5</w:t>
      </w:r>
      <w:r w:rsidR="0066244B">
        <w:rPr>
          <w:rFonts w:ascii="Arial" w:hAnsi="Arial" w:cs="Arial"/>
          <w:b/>
          <w:sz w:val="24"/>
          <w:szCs w:val="24"/>
        </w:rPr>
        <w:t>6</w:t>
      </w:r>
      <w:r w:rsidR="0037594E">
        <w:rPr>
          <w:rFonts w:ascii="Arial" w:hAnsi="Arial" w:cs="Arial"/>
          <w:b/>
          <w:sz w:val="24"/>
          <w:szCs w:val="24"/>
        </w:rPr>
        <w:t>, DE 02</w:t>
      </w:r>
      <w:r w:rsidRPr="008610D0">
        <w:rPr>
          <w:rFonts w:ascii="Arial" w:hAnsi="Arial" w:cs="Arial"/>
          <w:b/>
          <w:sz w:val="24"/>
          <w:szCs w:val="24"/>
        </w:rPr>
        <w:t xml:space="preserve"> DE JU</w:t>
      </w:r>
      <w:r w:rsidR="0037594E">
        <w:rPr>
          <w:rFonts w:ascii="Arial" w:hAnsi="Arial" w:cs="Arial"/>
          <w:b/>
          <w:sz w:val="24"/>
          <w:szCs w:val="24"/>
        </w:rPr>
        <w:t>L</w:t>
      </w:r>
      <w:r w:rsidRPr="008610D0">
        <w:rPr>
          <w:rFonts w:ascii="Arial" w:hAnsi="Arial" w:cs="Arial"/>
          <w:b/>
          <w:sz w:val="24"/>
          <w:szCs w:val="24"/>
        </w:rPr>
        <w:t>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</w:t>
      </w:r>
      <w:r w:rsidR="003835E5">
        <w:rPr>
          <w:rFonts w:ascii="Arial" w:hAnsi="Arial" w:cs="Arial"/>
          <w:b/>
          <w:i/>
          <w:sz w:val="24"/>
          <w:szCs w:val="24"/>
        </w:rPr>
        <w:t xml:space="preserve"> de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</w:t>
      </w:r>
      <w:r w:rsidR="0066244B" w:rsidRPr="0066244B">
        <w:rPr>
          <w:rFonts w:ascii="Arial" w:hAnsi="Arial" w:cs="Arial"/>
          <w:b/>
          <w:i/>
          <w:sz w:val="24"/>
          <w:szCs w:val="24"/>
        </w:rPr>
        <w:t>Comércio de produtos químicos, localizado na Rua Francisco Reis, 427 – Cordeiros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A13E00" w:rsidRPr="00212D33" w:rsidRDefault="00A13E00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116902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 w:rsidRPr="00116902"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116902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116902">
        <w:rPr>
          <w:rFonts w:ascii="Arial" w:hAnsi="Arial" w:cs="Arial"/>
          <w:b/>
          <w:sz w:val="24"/>
          <w:szCs w:val="24"/>
        </w:rPr>
        <w:t xml:space="preserve"> nº </w:t>
      </w:r>
      <w:r w:rsidR="0066244B">
        <w:rPr>
          <w:rFonts w:ascii="Arial" w:hAnsi="Arial" w:cs="Arial"/>
          <w:b/>
          <w:sz w:val="24"/>
          <w:szCs w:val="24"/>
        </w:rPr>
        <w:t>7910</w:t>
      </w:r>
      <w:r w:rsidR="0066244B" w:rsidRPr="00A841C1">
        <w:rPr>
          <w:rFonts w:ascii="Arial" w:hAnsi="Arial" w:cs="Arial"/>
          <w:b/>
          <w:sz w:val="24"/>
          <w:szCs w:val="24"/>
        </w:rPr>
        <w:t>/2019</w:t>
      </w:r>
      <w:r w:rsidR="0066244B" w:rsidRPr="00AD19B3">
        <w:rPr>
          <w:rFonts w:ascii="Arial" w:hAnsi="Arial" w:cs="Arial"/>
          <w:sz w:val="24"/>
          <w:szCs w:val="24"/>
        </w:rPr>
        <w:t xml:space="preserve">, solicitado por </w:t>
      </w:r>
      <w:r w:rsidR="0066244B">
        <w:rPr>
          <w:rFonts w:ascii="Arial" w:hAnsi="Arial" w:cs="Arial"/>
          <w:b/>
          <w:sz w:val="24"/>
          <w:szCs w:val="24"/>
        </w:rPr>
        <w:t xml:space="preserve">CCQM – Comercial Catarinense Química e Metais </w:t>
      </w:r>
      <w:proofErr w:type="spellStart"/>
      <w:r w:rsidR="0066244B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 w:rsidRPr="00116902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116902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116902" w:rsidRPr="00116902">
        <w:rPr>
          <w:rFonts w:ascii="Arial" w:hAnsi="Arial" w:cs="Arial"/>
          <w:sz w:val="24"/>
          <w:szCs w:val="24"/>
        </w:rPr>
        <w:t xml:space="preserve">de </w:t>
      </w:r>
      <w:r w:rsidR="00820EF9">
        <w:rPr>
          <w:rFonts w:ascii="Arial" w:hAnsi="Arial" w:cs="Arial"/>
          <w:sz w:val="24"/>
          <w:szCs w:val="24"/>
        </w:rPr>
        <w:t xml:space="preserve">Comércio de produtos químicos, </w:t>
      </w:r>
      <w:r w:rsidR="00820EF9" w:rsidRPr="00820EF9">
        <w:rPr>
          <w:rFonts w:ascii="Arial" w:hAnsi="Arial" w:cs="Arial"/>
          <w:sz w:val="24"/>
          <w:szCs w:val="24"/>
        </w:rPr>
        <w:t xml:space="preserve">localizado na </w:t>
      </w:r>
      <w:r w:rsidR="0066244B" w:rsidRPr="0066244B">
        <w:rPr>
          <w:rFonts w:ascii="Arial" w:hAnsi="Arial" w:cs="Arial"/>
          <w:sz w:val="24"/>
          <w:szCs w:val="24"/>
        </w:rPr>
        <w:t>Rua Francisco Reis, 427 – Cordeiros</w:t>
      </w:r>
      <w:r w:rsidRPr="0011690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 xml:space="preserve">Considerando que o local, segundo o Código de Zoneamento, Parcelamento e Uso do Solo (Lei Complementar nº 215/2012), é uma </w:t>
      </w:r>
      <w:r w:rsidR="0066244B" w:rsidRPr="00DC0B03">
        <w:rPr>
          <w:rFonts w:ascii="Arial" w:hAnsi="Arial" w:cs="Arial"/>
          <w:b/>
          <w:sz w:val="24"/>
          <w:szCs w:val="24"/>
        </w:rPr>
        <w:t>Z</w:t>
      </w:r>
      <w:r w:rsidR="0066244B">
        <w:rPr>
          <w:rFonts w:ascii="Arial" w:hAnsi="Arial" w:cs="Arial"/>
          <w:b/>
          <w:sz w:val="24"/>
          <w:szCs w:val="24"/>
        </w:rPr>
        <w:t>IP</w:t>
      </w:r>
      <w:r w:rsidR="0066244B" w:rsidRPr="00A841C1">
        <w:rPr>
          <w:rFonts w:ascii="Arial" w:hAnsi="Arial" w:cs="Arial"/>
          <w:b/>
          <w:sz w:val="24"/>
          <w:szCs w:val="24"/>
        </w:rPr>
        <w:t xml:space="preserve"> – Zona </w:t>
      </w:r>
      <w:r w:rsidR="0066244B">
        <w:rPr>
          <w:rFonts w:ascii="Arial" w:hAnsi="Arial" w:cs="Arial"/>
          <w:b/>
          <w:sz w:val="24"/>
          <w:szCs w:val="24"/>
        </w:rPr>
        <w:t>Industrial Predominante;</w:t>
      </w:r>
      <w:r w:rsidR="0066244B" w:rsidRPr="00BD0554">
        <w:rPr>
          <w:rFonts w:ascii="Arial" w:hAnsi="Arial" w:cs="Arial"/>
          <w:sz w:val="24"/>
          <w:szCs w:val="24"/>
        </w:rPr>
        <w:t xml:space="preserve"> </w:t>
      </w:r>
      <w:r w:rsidR="0066244B" w:rsidRPr="00AD19B3">
        <w:rPr>
          <w:rFonts w:ascii="Arial" w:hAnsi="Arial" w:cs="Arial"/>
          <w:sz w:val="24"/>
          <w:szCs w:val="24"/>
        </w:rPr>
        <w:t xml:space="preserve">considerando que o uso pretendido se encaixa em </w:t>
      </w:r>
      <w:r w:rsidR="0066244B">
        <w:rPr>
          <w:rFonts w:ascii="Arial" w:hAnsi="Arial" w:cs="Arial"/>
          <w:b/>
          <w:sz w:val="24"/>
          <w:szCs w:val="24"/>
        </w:rPr>
        <w:t>permissíveis</w:t>
      </w:r>
      <w:r w:rsidR="0066244B" w:rsidRPr="00AD19B3">
        <w:rPr>
          <w:rFonts w:ascii="Arial" w:hAnsi="Arial" w:cs="Arial"/>
          <w:sz w:val="24"/>
          <w:szCs w:val="24"/>
        </w:rPr>
        <w:t>, conforme alínea “</w:t>
      </w:r>
      <w:r w:rsidR="0066244B">
        <w:rPr>
          <w:rFonts w:ascii="Arial" w:hAnsi="Arial" w:cs="Arial"/>
          <w:sz w:val="24"/>
          <w:szCs w:val="24"/>
        </w:rPr>
        <w:t>b</w:t>
      </w:r>
      <w:r w:rsidR="0066244B" w:rsidRPr="00AD19B3">
        <w:rPr>
          <w:rFonts w:ascii="Arial" w:hAnsi="Arial" w:cs="Arial"/>
          <w:sz w:val="24"/>
          <w:szCs w:val="24"/>
        </w:rPr>
        <w:t xml:space="preserve">”, </w:t>
      </w:r>
      <w:r w:rsidR="0066244B">
        <w:rPr>
          <w:rFonts w:ascii="Arial" w:hAnsi="Arial" w:cs="Arial"/>
          <w:sz w:val="24"/>
          <w:szCs w:val="24"/>
        </w:rPr>
        <w:t xml:space="preserve">do parágrafo 2º do </w:t>
      </w:r>
      <w:r w:rsidR="0066244B" w:rsidRPr="00AD19B3">
        <w:rPr>
          <w:rFonts w:ascii="Arial" w:hAnsi="Arial" w:cs="Arial"/>
          <w:sz w:val="24"/>
          <w:szCs w:val="24"/>
        </w:rPr>
        <w:t xml:space="preserve">inciso III do Art. </w:t>
      </w:r>
      <w:r w:rsidR="0066244B">
        <w:rPr>
          <w:rFonts w:ascii="Arial" w:hAnsi="Arial" w:cs="Arial"/>
          <w:sz w:val="24"/>
          <w:szCs w:val="24"/>
        </w:rPr>
        <w:t>57</w:t>
      </w:r>
      <w:r w:rsidR="0066244B" w:rsidRPr="00AD19B3">
        <w:rPr>
          <w:rFonts w:ascii="Arial" w:hAnsi="Arial" w:cs="Arial"/>
          <w:sz w:val="24"/>
          <w:szCs w:val="24"/>
        </w:rPr>
        <w:t xml:space="preserve">, cabendo </w:t>
      </w:r>
      <w:proofErr w:type="gramStart"/>
      <w:r w:rsidR="0066244B" w:rsidRPr="00AD19B3">
        <w:rPr>
          <w:rFonts w:ascii="Arial" w:hAnsi="Arial" w:cs="Arial"/>
          <w:sz w:val="24"/>
          <w:szCs w:val="24"/>
        </w:rPr>
        <w:t>a</w:t>
      </w:r>
      <w:proofErr w:type="gramEnd"/>
      <w:r w:rsidR="0066244B" w:rsidRPr="00AD19B3">
        <w:rPr>
          <w:rFonts w:ascii="Arial" w:hAnsi="Arial" w:cs="Arial"/>
          <w:sz w:val="24"/>
          <w:szCs w:val="24"/>
        </w:rPr>
        <w:t xml:space="preserve"> anuência do CMGDT;</w:t>
      </w: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Pr="0011690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6902"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</w:t>
      </w:r>
      <w:r w:rsidR="0037594E" w:rsidRPr="00116902">
        <w:rPr>
          <w:rFonts w:ascii="Arial" w:hAnsi="Arial" w:cs="Arial"/>
          <w:sz w:val="24"/>
          <w:szCs w:val="24"/>
        </w:rPr>
        <w:t>2</w:t>
      </w:r>
      <w:r w:rsidRPr="00116902">
        <w:rPr>
          <w:rFonts w:ascii="Arial" w:hAnsi="Arial" w:cs="Arial"/>
          <w:sz w:val="24"/>
          <w:szCs w:val="24"/>
        </w:rPr>
        <w:t xml:space="preserve"> de ju</w:t>
      </w:r>
      <w:r w:rsidR="0037594E" w:rsidRPr="00116902">
        <w:rPr>
          <w:rFonts w:ascii="Arial" w:hAnsi="Arial" w:cs="Arial"/>
          <w:sz w:val="24"/>
          <w:szCs w:val="24"/>
        </w:rPr>
        <w:t>l</w:t>
      </w:r>
      <w:r w:rsidRPr="00116902">
        <w:rPr>
          <w:rFonts w:ascii="Arial" w:hAnsi="Arial" w:cs="Arial"/>
          <w:sz w:val="24"/>
          <w:szCs w:val="24"/>
        </w:rPr>
        <w:t>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116902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116902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66244B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66244B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66244B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66244B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66244B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116902" w:rsidRPr="0066244B">
        <w:rPr>
          <w:rFonts w:ascii="Arial" w:hAnsi="Arial" w:cs="Arial"/>
          <w:i/>
          <w:sz w:val="24"/>
          <w:szCs w:val="24"/>
        </w:rPr>
        <w:t xml:space="preserve">de </w:t>
      </w:r>
      <w:r w:rsidR="004269B5" w:rsidRPr="0066244B">
        <w:rPr>
          <w:rFonts w:ascii="Arial" w:hAnsi="Arial" w:cs="Arial"/>
          <w:i/>
          <w:sz w:val="24"/>
          <w:szCs w:val="24"/>
        </w:rPr>
        <w:t xml:space="preserve">Comércio de produtos químicos, localizado na </w:t>
      </w:r>
      <w:r w:rsidR="0066244B" w:rsidRPr="0066244B">
        <w:rPr>
          <w:rFonts w:ascii="Arial" w:hAnsi="Arial" w:cs="Arial"/>
          <w:i/>
          <w:sz w:val="24"/>
          <w:szCs w:val="24"/>
        </w:rPr>
        <w:t>Rua Francisco Reis, 427 – Cordeiros</w:t>
      </w:r>
      <w:r w:rsidRPr="0066244B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66244B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66244B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66244B">
        <w:rPr>
          <w:rFonts w:ascii="Arial" w:hAnsi="Arial" w:cs="Arial"/>
          <w:b/>
          <w:i/>
          <w:sz w:val="24"/>
          <w:szCs w:val="24"/>
        </w:rPr>
        <w:t xml:space="preserve"> nº </w:t>
      </w:r>
      <w:r w:rsidR="0066244B" w:rsidRPr="0066244B">
        <w:rPr>
          <w:rFonts w:ascii="Arial" w:hAnsi="Arial" w:cs="Arial"/>
          <w:b/>
          <w:i/>
          <w:sz w:val="24"/>
          <w:szCs w:val="24"/>
        </w:rPr>
        <w:t>7910/2019</w:t>
      </w:r>
      <w:r w:rsidR="0066244B" w:rsidRPr="0066244B">
        <w:rPr>
          <w:rFonts w:ascii="Arial" w:hAnsi="Arial" w:cs="Arial"/>
          <w:i/>
          <w:sz w:val="24"/>
          <w:szCs w:val="24"/>
        </w:rPr>
        <w:t xml:space="preserve">, solicitado por </w:t>
      </w:r>
      <w:r w:rsidR="0066244B" w:rsidRPr="0066244B">
        <w:rPr>
          <w:rFonts w:ascii="Arial" w:hAnsi="Arial" w:cs="Arial"/>
          <w:b/>
          <w:i/>
          <w:sz w:val="24"/>
          <w:szCs w:val="24"/>
        </w:rPr>
        <w:t>CCQM – Comercial Catarinense Química e Metais Ltda</w:t>
      </w:r>
      <w:r w:rsidRPr="0066244B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F9" w:rsidRDefault="00820EF9" w:rsidP="00FE34EB">
      <w:pPr>
        <w:spacing w:after="0" w:line="240" w:lineRule="auto"/>
      </w:pPr>
      <w:r>
        <w:separator/>
      </w:r>
    </w:p>
  </w:endnote>
  <w:end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F9" w:rsidRDefault="00820EF9" w:rsidP="00FE34EB">
      <w:pPr>
        <w:spacing w:after="0" w:line="240" w:lineRule="auto"/>
      </w:pPr>
      <w:r>
        <w:separator/>
      </w:r>
    </w:p>
  </w:footnote>
  <w:footnote w:type="continuationSeparator" w:id="0">
    <w:p w:rsidR="00820EF9" w:rsidRDefault="00820EF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16902"/>
    <w:rsid w:val="00193C52"/>
    <w:rsid w:val="002E5986"/>
    <w:rsid w:val="0032234F"/>
    <w:rsid w:val="00322780"/>
    <w:rsid w:val="0037594E"/>
    <w:rsid w:val="003835E5"/>
    <w:rsid w:val="003C299D"/>
    <w:rsid w:val="003D7A35"/>
    <w:rsid w:val="004269B5"/>
    <w:rsid w:val="00435ED9"/>
    <w:rsid w:val="00495868"/>
    <w:rsid w:val="0060317D"/>
    <w:rsid w:val="0066244B"/>
    <w:rsid w:val="00803815"/>
    <w:rsid w:val="00820EF9"/>
    <w:rsid w:val="008610D0"/>
    <w:rsid w:val="00881F47"/>
    <w:rsid w:val="008D137D"/>
    <w:rsid w:val="009A0016"/>
    <w:rsid w:val="009B0DB0"/>
    <w:rsid w:val="009C25E6"/>
    <w:rsid w:val="00A13E00"/>
    <w:rsid w:val="00A54627"/>
    <w:rsid w:val="00B0706F"/>
    <w:rsid w:val="00C543A2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2019-07-03T21:08:00Z</dcterms:created>
  <dcterms:modified xsi:type="dcterms:W3CDTF">2019-07-03T21:08:00Z</dcterms:modified>
</cp:coreProperties>
</file>