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3CE0" w:rsidRDefault="00143CE0" w:rsidP="00E41C7C">
      <w:pPr>
        <w:pStyle w:val="SemEspaamento"/>
        <w:spacing w:line="360" w:lineRule="auto"/>
        <w:jc w:val="center"/>
        <w:rPr>
          <w:rFonts w:ascii="Arial" w:hAnsi="Arial" w:cs="Arial"/>
          <w:b/>
          <w:szCs w:val="24"/>
        </w:rPr>
      </w:pPr>
    </w:p>
    <w:p w:rsidR="00E41C7C" w:rsidRDefault="00E41C7C" w:rsidP="00E41C7C">
      <w:pPr>
        <w:pStyle w:val="SemEspaamento"/>
        <w:spacing w:line="360" w:lineRule="auto"/>
        <w:jc w:val="center"/>
        <w:rPr>
          <w:rFonts w:ascii="Arial" w:hAnsi="Arial" w:cs="Arial"/>
          <w:b/>
          <w:szCs w:val="24"/>
        </w:rPr>
      </w:pPr>
      <w:r w:rsidRPr="00143CE0">
        <w:rPr>
          <w:rFonts w:ascii="Arial" w:hAnsi="Arial" w:cs="Arial"/>
          <w:b/>
          <w:szCs w:val="24"/>
        </w:rPr>
        <w:t xml:space="preserve">DELIBERAÇÃO Nº </w:t>
      </w:r>
      <w:r w:rsidR="00024970">
        <w:rPr>
          <w:rFonts w:ascii="Arial" w:hAnsi="Arial" w:cs="Arial"/>
          <w:b/>
          <w:szCs w:val="24"/>
        </w:rPr>
        <w:t>102</w:t>
      </w:r>
      <w:r w:rsidRPr="00143CE0">
        <w:rPr>
          <w:rFonts w:ascii="Arial" w:hAnsi="Arial" w:cs="Arial"/>
          <w:b/>
          <w:szCs w:val="24"/>
        </w:rPr>
        <w:t xml:space="preserve">, DE </w:t>
      </w:r>
      <w:r w:rsidR="00024970">
        <w:rPr>
          <w:rFonts w:ascii="Arial" w:hAnsi="Arial" w:cs="Arial"/>
          <w:b/>
          <w:szCs w:val="24"/>
        </w:rPr>
        <w:t>1</w:t>
      </w:r>
      <w:r w:rsidR="00317235">
        <w:rPr>
          <w:rFonts w:ascii="Arial" w:hAnsi="Arial" w:cs="Arial"/>
          <w:b/>
          <w:szCs w:val="24"/>
        </w:rPr>
        <w:t>5</w:t>
      </w:r>
      <w:r w:rsidRPr="00143CE0">
        <w:rPr>
          <w:rFonts w:ascii="Arial" w:hAnsi="Arial" w:cs="Arial"/>
          <w:b/>
          <w:szCs w:val="24"/>
        </w:rPr>
        <w:t xml:space="preserve"> DE </w:t>
      </w:r>
      <w:r w:rsidR="001D1F3C" w:rsidRPr="00143CE0">
        <w:rPr>
          <w:rFonts w:ascii="Arial" w:hAnsi="Arial" w:cs="Arial"/>
          <w:b/>
          <w:szCs w:val="24"/>
        </w:rPr>
        <w:t>A</w:t>
      </w:r>
      <w:r w:rsidR="00024970">
        <w:rPr>
          <w:rFonts w:ascii="Arial" w:hAnsi="Arial" w:cs="Arial"/>
          <w:b/>
          <w:szCs w:val="24"/>
        </w:rPr>
        <w:t>GOSTO</w:t>
      </w:r>
      <w:r w:rsidR="00060845" w:rsidRPr="00143CE0">
        <w:rPr>
          <w:rFonts w:ascii="Arial" w:hAnsi="Arial" w:cs="Arial"/>
          <w:b/>
          <w:szCs w:val="24"/>
        </w:rPr>
        <w:t xml:space="preserve"> </w:t>
      </w:r>
      <w:r w:rsidRPr="00143CE0">
        <w:rPr>
          <w:rFonts w:ascii="Arial" w:hAnsi="Arial" w:cs="Arial"/>
          <w:b/>
          <w:szCs w:val="24"/>
        </w:rPr>
        <w:t xml:space="preserve">DE </w:t>
      </w:r>
      <w:proofErr w:type="gramStart"/>
      <w:r w:rsidRPr="00143CE0">
        <w:rPr>
          <w:rFonts w:ascii="Arial" w:hAnsi="Arial" w:cs="Arial"/>
          <w:b/>
          <w:szCs w:val="24"/>
        </w:rPr>
        <w:t>201</w:t>
      </w:r>
      <w:r w:rsidR="003354A7" w:rsidRPr="00143CE0">
        <w:rPr>
          <w:rFonts w:ascii="Arial" w:hAnsi="Arial" w:cs="Arial"/>
          <w:b/>
          <w:szCs w:val="24"/>
        </w:rPr>
        <w:t>6</w:t>
      </w:r>
      <w:proofErr w:type="gramEnd"/>
    </w:p>
    <w:p w:rsidR="00024970" w:rsidRPr="00143CE0" w:rsidRDefault="00024970" w:rsidP="00E41C7C">
      <w:pPr>
        <w:pStyle w:val="SemEspaamento"/>
        <w:spacing w:line="360" w:lineRule="auto"/>
        <w:jc w:val="center"/>
        <w:rPr>
          <w:rFonts w:ascii="Arial" w:hAnsi="Arial" w:cs="Arial"/>
          <w:b/>
          <w:szCs w:val="24"/>
        </w:rPr>
      </w:pPr>
    </w:p>
    <w:p w:rsidR="00700692" w:rsidRDefault="0022211B" w:rsidP="00700692">
      <w:pPr>
        <w:ind w:left="3119"/>
        <w:jc w:val="both"/>
        <w:rPr>
          <w:rFonts w:ascii="Arial" w:hAnsi="Arial" w:cs="Arial"/>
          <w:b/>
          <w:i/>
          <w:noProof/>
          <w:szCs w:val="24"/>
          <w:lang w:eastAsia="pt-BR"/>
        </w:rPr>
      </w:pPr>
      <w:r w:rsidRPr="00B64912">
        <w:rPr>
          <w:rFonts w:ascii="Arial" w:hAnsi="Arial" w:cs="Arial"/>
          <w:b/>
          <w:i/>
          <w:noProof/>
          <w:lang w:eastAsia="pt-BR"/>
        </w:rPr>
        <w:t xml:space="preserve">Dispõe sobre </w:t>
      </w:r>
      <w:r w:rsidR="00700692" w:rsidRPr="00033D8B">
        <w:rPr>
          <w:rFonts w:ascii="Arial" w:hAnsi="Arial" w:cs="Arial"/>
          <w:b/>
          <w:i/>
          <w:noProof/>
          <w:szCs w:val="24"/>
          <w:lang w:eastAsia="pt-BR"/>
        </w:rPr>
        <w:t>o</w:t>
      </w:r>
      <w:r>
        <w:rPr>
          <w:rFonts w:ascii="Arial" w:hAnsi="Arial" w:cs="Arial"/>
          <w:b/>
          <w:i/>
          <w:noProof/>
          <w:szCs w:val="24"/>
          <w:lang w:eastAsia="pt-BR"/>
        </w:rPr>
        <w:t xml:space="preserve"> uso do</w:t>
      </w:r>
      <w:r w:rsidR="00700692" w:rsidRPr="00033D8B">
        <w:rPr>
          <w:rFonts w:ascii="Arial" w:hAnsi="Arial" w:cs="Arial"/>
          <w:b/>
          <w:i/>
          <w:noProof/>
          <w:szCs w:val="24"/>
          <w:lang w:eastAsia="pt-BR"/>
        </w:rPr>
        <w:t xml:space="preserve"> ático</w:t>
      </w:r>
      <w:r>
        <w:rPr>
          <w:rFonts w:ascii="Arial" w:hAnsi="Arial" w:cs="Arial"/>
          <w:b/>
          <w:i/>
          <w:noProof/>
          <w:szCs w:val="24"/>
          <w:lang w:eastAsia="pt-BR"/>
        </w:rPr>
        <w:t xml:space="preserve"> e suas considerações</w:t>
      </w:r>
      <w:r w:rsidR="00700692">
        <w:rPr>
          <w:rFonts w:ascii="Arial" w:hAnsi="Arial" w:cs="Arial"/>
          <w:b/>
          <w:i/>
          <w:noProof/>
          <w:szCs w:val="24"/>
          <w:lang w:eastAsia="pt-BR"/>
        </w:rPr>
        <w:t>.</w:t>
      </w:r>
    </w:p>
    <w:p w:rsidR="00700692" w:rsidRDefault="00700692" w:rsidP="004814D4">
      <w:pPr>
        <w:spacing w:after="0"/>
        <w:jc w:val="both"/>
        <w:rPr>
          <w:rFonts w:ascii="Arial" w:hAnsi="Arial" w:cs="Arial"/>
          <w:noProof/>
          <w:szCs w:val="24"/>
          <w:lang w:eastAsia="pt-BR"/>
        </w:rPr>
      </w:pPr>
    </w:p>
    <w:p w:rsidR="00FA098B" w:rsidRPr="004F71DB" w:rsidRDefault="00342366" w:rsidP="00863CD6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4F71DB">
        <w:rPr>
          <w:rFonts w:ascii="Arial" w:hAnsi="Arial" w:cs="Arial"/>
          <w:noProof/>
          <w:sz w:val="20"/>
          <w:szCs w:val="20"/>
          <w:lang w:eastAsia="pt-BR"/>
        </w:rPr>
        <w:t>O Conselho Municipal de Gestão e Desenvolvimento Territorial de Itajaí através de seu Presidente, no uso de suas atribuições conferidas pela Lei Municipal nº 5</w:t>
      </w:r>
      <w:r w:rsidR="00676D5D">
        <w:rPr>
          <w:rFonts w:ascii="Arial" w:hAnsi="Arial" w:cs="Arial"/>
          <w:noProof/>
          <w:sz w:val="20"/>
          <w:szCs w:val="20"/>
          <w:lang w:eastAsia="pt-BR"/>
        </w:rPr>
        <w:t>.</w:t>
      </w:r>
      <w:r w:rsidRPr="004F71DB">
        <w:rPr>
          <w:rFonts w:ascii="Arial" w:hAnsi="Arial" w:cs="Arial"/>
          <w:noProof/>
          <w:sz w:val="20"/>
          <w:szCs w:val="20"/>
          <w:lang w:eastAsia="pt-BR"/>
        </w:rPr>
        <w:t>001 de 07 de dezembro de 2007 e suas alterações posteriores;</w:t>
      </w:r>
      <w:r w:rsidR="00FA098B" w:rsidRPr="004F71DB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</w:p>
    <w:p w:rsidR="0018577C" w:rsidRPr="004F71DB" w:rsidRDefault="0018577C" w:rsidP="00863CD6">
      <w:pPr>
        <w:spacing w:after="0" w:line="240" w:lineRule="auto"/>
        <w:ind w:firstLine="708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D9081C" w:rsidRPr="004F71DB" w:rsidRDefault="00D9081C" w:rsidP="00863CD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4F71DB">
        <w:rPr>
          <w:rFonts w:ascii="Arial" w:hAnsi="Arial" w:cs="Arial"/>
          <w:noProof/>
          <w:sz w:val="20"/>
          <w:szCs w:val="20"/>
          <w:lang w:eastAsia="pt-BR"/>
        </w:rPr>
        <w:t xml:space="preserve">Considerando </w:t>
      </w:r>
      <w:r w:rsidR="00700692" w:rsidRPr="004F71DB">
        <w:rPr>
          <w:rFonts w:ascii="Arial" w:hAnsi="Arial" w:cs="Arial"/>
          <w:noProof/>
          <w:sz w:val="20"/>
          <w:szCs w:val="20"/>
          <w:lang w:eastAsia="pt-BR"/>
        </w:rPr>
        <w:t xml:space="preserve">as definições conflitantes da </w:t>
      </w:r>
      <w:r w:rsidRPr="004F71DB">
        <w:rPr>
          <w:rFonts w:ascii="Arial" w:hAnsi="Arial" w:cs="Arial"/>
          <w:noProof/>
          <w:sz w:val="20"/>
          <w:szCs w:val="20"/>
          <w:lang w:eastAsia="pt-BR"/>
        </w:rPr>
        <w:t>Lei Complementar 215/2012:</w:t>
      </w:r>
    </w:p>
    <w:p w:rsidR="00D9081C" w:rsidRPr="004F71DB" w:rsidRDefault="00D9081C" w:rsidP="00863CD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4F71DB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</w:p>
    <w:p w:rsidR="00D9081C" w:rsidRPr="004F71DB" w:rsidRDefault="00D9081C" w:rsidP="00863CD6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4F71DB">
        <w:rPr>
          <w:rFonts w:ascii="Arial" w:hAnsi="Arial" w:cs="Arial"/>
          <w:noProof/>
          <w:sz w:val="20"/>
          <w:szCs w:val="20"/>
          <w:lang w:eastAsia="pt-BR"/>
        </w:rPr>
        <w:t>Art. 69</w:t>
      </w:r>
      <w:r w:rsidR="00FA098B" w:rsidRPr="004F71DB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</w:p>
    <w:p w:rsidR="00D9081C" w:rsidRPr="004F71DB" w:rsidRDefault="00D9081C" w:rsidP="00863CD6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4F71DB">
        <w:rPr>
          <w:rFonts w:ascii="Arial" w:hAnsi="Arial" w:cs="Arial"/>
          <w:noProof/>
          <w:sz w:val="20"/>
          <w:szCs w:val="20"/>
          <w:lang w:eastAsia="pt-BR"/>
        </w:rPr>
        <w:t>...</w:t>
      </w:r>
    </w:p>
    <w:p w:rsidR="00FA098B" w:rsidRPr="004F71DB" w:rsidRDefault="00FA098B" w:rsidP="00863CD6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noProof/>
          <w:sz w:val="20"/>
          <w:szCs w:val="20"/>
          <w:lang w:eastAsia="pt-BR"/>
        </w:rPr>
      </w:pPr>
      <w:r w:rsidRPr="004F71DB">
        <w:rPr>
          <w:rFonts w:ascii="Arial" w:hAnsi="Arial" w:cs="Arial"/>
          <w:i/>
          <w:noProof/>
          <w:sz w:val="20"/>
          <w:szCs w:val="20"/>
          <w:lang w:eastAsia="pt-BR"/>
        </w:rPr>
        <w:t>XII</w:t>
      </w:r>
      <w:r w:rsidR="00F260CA" w:rsidRPr="004F71DB">
        <w:rPr>
          <w:rFonts w:ascii="Arial" w:hAnsi="Arial" w:cs="Arial"/>
          <w:i/>
          <w:noProof/>
          <w:sz w:val="20"/>
          <w:szCs w:val="20"/>
          <w:lang w:eastAsia="pt-BR"/>
        </w:rPr>
        <w:t xml:space="preserve"> -</w:t>
      </w:r>
      <w:r w:rsidRPr="004F71DB">
        <w:rPr>
          <w:rFonts w:ascii="Arial" w:hAnsi="Arial" w:cs="Arial"/>
          <w:i/>
          <w:noProof/>
          <w:sz w:val="20"/>
          <w:szCs w:val="20"/>
          <w:lang w:eastAsia="pt-BR"/>
        </w:rPr>
        <w:t xml:space="preserve">  ático é a projeção da área coberta sobre a laje da cobertura do último pavimento, sendo no ático permitido todos os compartimentos necessários para a instalação de casa de máquinas, caixa d`água, áreas de circulação comum do edifício, dependências destinadas ao zelador, área comum de recreação ou lazer nos edifícios de habitação coletiva ou comercial;</w:t>
      </w:r>
    </w:p>
    <w:p w:rsidR="00D9081C" w:rsidRPr="004F71DB" w:rsidRDefault="00D9081C" w:rsidP="00863CD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D9081C" w:rsidRPr="004F71DB" w:rsidRDefault="00D9081C" w:rsidP="00863CD6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noProof/>
          <w:sz w:val="20"/>
          <w:szCs w:val="20"/>
          <w:lang w:eastAsia="pt-BR"/>
        </w:rPr>
      </w:pPr>
      <w:r w:rsidRPr="004F71DB">
        <w:rPr>
          <w:rFonts w:ascii="Arial" w:hAnsi="Arial" w:cs="Arial"/>
          <w:i/>
          <w:noProof/>
          <w:sz w:val="20"/>
          <w:szCs w:val="20"/>
          <w:lang w:eastAsia="pt-BR"/>
        </w:rPr>
        <w:t>Art.</w:t>
      </w:r>
      <w:r w:rsidR="006C6A43" w:rsidRPr="004F71DB">
        <w:rPr>
          <w:rFonts w:ascii="Arial" w:hAnsi="Arial" w:cs="Arial"/>
          <w:i/>
          <w:noProof/>
          <w:sz w:val="20"/>
          <w:szCs w:val="20"/>
          <w:lang w:eastAsia="pt-BR"/>
        </w:rPr>
        <w:t xml:space="preserve"> 70</w:t>
      </w:r>
    </w:p>
    <w:p w:rsidR="00FA098B" w:rsidRPr="004F71DB" w:rsidRDefault="006C6A43" w:rsidP="00863CD6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noProof/>
          <w:sz w:val="20"/>
          <w:szCs w:val="20"/>
          <w:lang w:eastAsia="pt-BR"/>
        </w:rPr>
      </w:pPr>
      <w:r w:rsidRPr="004F71DB">
        <w:rPr>
          <w:rFonts w:ascii="Arial" w:hAnsi="Arial" w:cs="Arial"/>
          <w:i/>
          <w:noProof/>
          <w:sz w:val="20"/>
          <w:szCs w:val="20"/>
          <w:lang w:eastAsia="pt-BR"/>
        </w:rPr>
        <w:t>§ 1º</w:t>
      </w:r>
      <w:r w:rsidR="00E31C50" w:rsidRPr="004F71DB">
        <w:rPr>
          <w:rFonts w:ascii="Arial" w:hAnsi="Arial" w:cs="Arial"/>
          <w:i/>
          <w:noProof/>
          <w:sz w:val="20"/>
          <w:szCs w:val="20"/>
          <w:lang w:eastAsia="pt-BR"/>
        </w:rPr>
        <w:t xml:space="preserve"> - A altura é medida a partir do nível do meio fio de cota mais baixa, até o ponto mais elevado da edificação (cumeeira ou nível superior da platibanda), não sendo computadas as casas de máquinas, instalações de condicionamento de ar, chaminés e demais instalações implantadas na cobertura, alem do ático.</w:t>
      </w:r>
    </w:p>
    <w:p w:rsidR="0018577C" w:rsidRPr="004F71DB" w:rsidRDefault="0018577C" w:rsidP="00863CD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18577C" w:rsidRPr="004F71DB" w:rsidRDefault="0018577C" w:rsidP="00863CD6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noProof/>
          <w:sz w:val="20"/>
          <w:szCs w:val="20"/>
          <w:lang w:eastAsia="pt-BR"/>
        </w:rPr>
      </w:pPr>
      <w:r w:rsidRPr="004F71DB">
        <w:rPr>
          <w:rFonts w:ascii="Arial" w:hAnsi="Arial" w:cs="Arial"/>
          <w:i/>
          <w:noProof/>
          <w:sz w:val="20"/>
          <w:szCs w:val="20"/>
          <w:lang w:eastAsia="pt-BR"/>
        </w:rPr>
        <w:t xml:space="preserve">Art. 71 O ático não será considerado no cálculo do número de pavimentos, desde que tenha um afastamento mínimo de 3 m (três metros) em relação à empena da torre e de 2 m (dois metros) em relação à empena de fundos da torre do pavimento imediatamente inferior; </w:t>
      </w:r>
    </w:p>
    <w:p w:rsidR="0018577C" w:rsidRPr="004F71DB" w:rsidRDefault="0018577C" w:rsidP="00863CD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noProof/>
          <w:sz w:val="20"/>
          <w:szCs w:val="20"/>
          <w:lang w:eastAsia="pt-BR"/>
        </w:rPr>
      </w:pPr>
    </w:p>
    <w:p w:rsidR="0018577C" w:rsidRPr="004F71DB" w:rsidRDefault="0018577C" w:rsidP="00863CD6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4F71DB">
        <w:rPr>
          <w:rFonts w:ascii="Arial" w:hAnsi="Arial" w:cs="Arial"/>
          <w:noProof/>
          <w:sz w:val="20"/>
          <w:szCs w:val="20"/>
          <w:lang w:eastAsia="pt-BR"/>
        </w:rPr>
        <w:t>Parágrafo Único - Pé-direito máximo para as dependências destinadas ao zelador e parte superior da unidade duplex ser de 3,60m (três metros e sessenta centímetros).</w:t>
      </w:r>
    </w:p>
    <w:p w:rsidR="00491E56" w:rsidRPr="004F71DB" w:rsidRDefault="00491E56" w:rsidP="00863CD6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700692" w:rsidRPr="004F71DB" w:rsidRDefault="00491E56" w:rsidP="00863CD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4F71DB">
        <w:rPr>
          <w:rFonts w:ascii="Arial" w:hAnsi="Arial" w:cs="Arial"/>
          <w:noProof/>
          <w:sz w:val="20"/>
          <w:szCs w:val="20"/>
          <w:lang w:eastAsia="pt-BR"/>
        </w:rPr>
        <w:t xml:space="preserve">Considerando </w:t>
      </w:r>
      <w:r w:rsidR="00700692" w:rsidRPr="004F71DB">
        <w:rPr>
          <w:rFonts w:ascii="Arial" w:hAnsi="Arial" w:cs="Arial"/>
          <w:noProof/>
          <w:sz w:val="20"/>
          <w:szCs w:val="20"/>
          <w:lang w:eastAsia="pt-BR"/>
        </w:rPr>
        <w:t xml:space="preserve">que compete ao Conselho Municipal de Gestão e Desenvolvimento Territorial, “XVII - exarar resoluções contendo correta interpretação de casos omissos ou conflitantes da legislação urbanística;” conforme  Art. 3º do </w:t>
      </w:r>
      <w:r w:rsidR="002B2171" w:rsidRPr="004F71DB">
        <w:rPr>
          <w:rFonts w:ascii="Arial" w:hAnsi="Arial" w:cs="Arial"/>
          <w:noProof/>
          <w:sz w:val="20"/>
          <w:szCs w:val="20"/>
          <w:lang w:eastAsia="pt-BR"/>
        </w:rPr>
        <w:t>D</w:t>
      </w:r>
      <w:r w:rsidR="00700692" w:rsidRPr="004F71DB">
        <w:rPr>
          <w:rFonts w:ascii="Arial" w:hAnsi="Arial" w:cs="Arial"/>
          <w:noProof/>
          <w:sz w:val="20"/>
          <w:szCs w:val="20"/>
          <w:lang w:eastAsia="pt-BR"/>
        </w:rPr>
        <w:t xml:space="preserve">ecreto nº </w:t>
      </w:r>
      <w:r w:rsidR="00700692" w:rsidRPr="00863CD6">
        <w:rPr>
          <w:rFonts w:ascii="Arial" w:hAnsi="Arial" w:cs="Arial"/>
          <w:noProof/>
          <w:sz w:val="20"/>
          <w:szCs w:val="20"/>
          <w:lang w:eastAsia="pt-BR"/>
        </w:rPr>
        <w:t>9378/201</w:t>
      </w:r>
      <w:r w:rsidR="00863CD6" w:rsidRPr="00863CD6">
        <w:rPr>
          <w:rFonts w:ascii="Arial" w:hAnsi="Arial" w:cs="Arial"/>
          <w:noProof/>
          <w:sz w:val="20"/>
          <w:szCs w:val="20"/>
          <w:lang w:eastAsia="pt-BR"/>
        </w:rPr>
        <w:t>1</w:t>
      </w:r>
      <w:r w:rsidR="00700692" w:rsidRPr="00863CD6">
        <w:rPr>
          <w:rFonts w:ascii="Arial" w:hAnsi="Arial" w:cs="Arial"/>
          <w:noProof/>
          <w:sz w:val="20"/>
          <w:szCs w:val="20"/>
          <w:lang w:eastAsia="pt-BR"/>
        </w:rPr>
        <w:t>;</w:t>
      </w:r>
    </w:p>
    <w:p w:rsidR="0018577C" w:rsidRPr="004F71DB" w:rsidRDefault="00491E56" w:rsidP="00863CD6">
      <w:pPr>
        <w:spacing w:after="0" w:line="240" w:lineRule="auto"/>
        <w:ind w:firstLine="708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4F71DB">
        <w:rPr>
          <w:rFonts w:ascii="Arial" w:hAnsi="Arial" w:cs="Arial"/>
          <w:noProof/>
          <w:sz w:val="20"/>
          <w:szCs w:val="20"/>
          <w:lang w:eastAsia="pt-BR"/>
        </w:rPr>
        <w:t xml:space="preserve">                                                                                                      </w:t>
      </w:r>
    </w:p>
    <w:p w:rsidR="006556BD" w:rsidRPr="004F71DB" w:rsidRDefault="006556BD" w:rsidP="00863CD6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4F71DB">
        <w:rPr>
          <w:rFonts w:ascii="Arial" w:hAnsi="Arial" w:cs="Arial"/>
          <w:noProof/>
          <w:sz w:val="20"/>
          <w:szCs w:val="20"/>
          <w:lang w:eastAsia="pt-BR"/>
        </w:rPr>
        <w:t xml:space="preserve">Considerando a decisão da maioria do Plenário do Conselho em reunião realizada no dia 05 de </w:t>
      </w:r>
      <w:r w:rsidR="00A05257" w:rsidRPr="004F71DB">
        <w:rPr>
          <w:rFonts w:ascii="Arial" w:hAnsi="Arial" w:cs="Arial"/>
          <w:noProof/>
          <w:sz w:val="20"/>
          <w:szCs w:val="20"/>
          <w:lang w:eastAsia="pt-BR"/>
        </w:rPr>
        <w:t>julho</w:t>
      </w:r>
      <w:r w:rsidRPr="004F71DB">
        <w:rPr>
          <w:rFonts w:ascii="Arial" w:hAnsi="Arial" w:cs="Arial"/>
          <w:noProof/>
          <w:sz w:val="20"/>
          <w:szCs w:val="20"/>
          <w:lang w:eastAsia="pt-BR"/>
        </w:rPr>
        <w:t xml:space="preserve"> de 2016;</w:t>
      </w:r>
    </w:p>
    <w:p w:rsidR="00700692" w:rsidRPr="004F71DB" w:rsidRDefault="00700692" w:rsidP="00863CD6">
      <w:pPr>
        <w:spacing w:after="0" w:line="240" w:lineRule="auto"/>
        <w:ind w:firstLine="708"/>
        <w:jc w:val="both"/>
        <w:rPr>
          <w:rFonts w:ascii="Arial" w:hAnsi="Arial" w:cs="Arial"/>
          <w:noProof/>
          <w:color w:val="4F81BD" w:themeColor="accent1"/>
          <w:sz w:val="20"/>
          <w:szCs w:val="20"/>
          <w:lang w:eastAsia="pt-BR"/>
        </w:rPr>
      </w:pPr>
    </w:p>
    <w:p w:rsidR="0022211B" w:rsidRPr="004F71DB" w:rsidRDefault="0022211B" w:rsidP="00863CD6">
      <w:pPr>
        <w:spacing w:after="0" w:line="240" w:lineRule="auto"/>
        <w:ind w:firstLine="708"/>
        <w:jc w:val="both"/>
        <w:rPr>
          <w:rFonts w:ascii="Arial" w:hAnsi="Arial" w:cs="Arial"/>
          <w:noProof/>
          <w:color w:val="4F81BD" w:themeColor="accent1"/>
          <w:sz w:val="20"/>
          <w:szCs w:val="20"/>
          <w:lang w:eastAsia="pt-BR"/>
        </w:rPr>
      </w:pPr>
    </w:p>
    <w:p w:rsidR="00A464D1" w:rsidRPr="004F71DB" w:rsidRDefault="00342366" w:rsidP="00863CD6">
      <w:pPr>
        <w:spacing w:after="0" w:line="240" w:lineRule="auto"/>
        <w:ind w:firstLine="1134"/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  <w:r w:rsidRPr="004F71DB">
        <w:rPr>
          <w:rFonts w:ascii="Arial" w:hAnsi="Arial" w:cs="Arial"/>
          <w:b/>
          <w:noProof/>
          <w:sz w:val="20"/>
          <w:szCs w:val="20"/>
          <w:lang w:eastAsia="pt-BR"/>
        </w:rPr>
        <w:t>DELIBERA</w:t>
      </w:r>
      <w:r w:rsidR="00A464D1" w:rsidRPr="004F71DB">
        <w:rPr>
          <w:rFonts w:ascii="Arial" w:hAnsi="Arial" w:cs="Arial"/>
          <w:b/>
          <w:noProof/>
          <w:sz w:val="20"/>
          <w:szCs w:val="20"/>
          <w:lang w:eastAsia="pt-BR"/>
        </w:rPr>
        <w:t>:</w:t>
      </w:r>
    </w:p>
    <w:p w:rsidR="00143CE0" w:rsidRPr="004F71DB" w:rsidRDefault="00143CE0" w:rsidP="00863CD6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676D5D" w:rsidRDefault="00A464D1" w:rsidP="00863CD6">
      <w:pPr>
        <w:spacing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4F71DB">
        <w:rPr>
          <w:rFonts w:ascii="Arial" w:hAnsi="Arial" w:cs="Arial"/>
          <w:noProof/>
          <w:sz w:val="20"/>
          <w:szCs w:val="20"/>
          <w:lang w:eastAsia="pt-BR"/>
        </w:rPr>
        <w:t>Art. 1º.</w:t>
      </w:r>
      <w:r w:rsidR="00342366" w:rsidRPr="004F71DB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676D5D">
        <w:rPr>
          <w:rFonts w:ascii="Arial" w:hAnsi="Arial" w:cs="Arial"/>
          <w:noProof/>
          <w:sz w:val="20"/>
          <w:szCs w:val="20"/>
          <w:lang w:eastAsia="pt-BR"/>
        </w:rPr>
        <w:t>Fica validado o Art. 71 desde que o ático não tenha</w:t>
      </w:r>
      <w:r w:rsidR="00863CD6">
        <w:rPr>
          <w:rFonts w:ascii="Arial" w:hAnsi="Arial" w:cs="Arial"/>
          <w:noProof/>
          <w:sz w:val="20"/>
          <w:szCs w:val="20"/>
          <w:lang w:eastAsia="pt-BR"/>
        </w:rPr>
        <w:t xml:space="preserve"> uso privativo e atenda ao previsto no Art. 69, inciso XII.</w:t>
      </w:r>
    </w:p>
    <w:p w:rsidR="0022211B" w:rsidRPr="004F71DB" w:rsidRDefault="0022211B" w:rsidP="00863CD6">
      <w:pPr>
        <w:spacing w:line="240" w:lineRule="auto"/>
        <w:jc w:val="both"/>
        <w:rPr>
          <w:rFonts w:ascii="Arial" w:hAnsi="Arial" w:cs="Arial"/>
          <w:b/>
          <w:i/>
          <w:noProof/>
          <w:sz w:val="20"/>
          <w:szCs w:val="20"/>
          <w:lang w:eastAsia="pt-BR"/>
        </w:rPr>
      </w:pPr>
    </w:p>
    <w:p w:rsidR="0022211B" w:rsidRPr="004F71DB" w:rsidRDefault="0022211B" w:rsidP="00863CD6">
      <w:pPr>
        <w:pStyle w:val="SemEspaamento"/>
        <w:jc w:val="center"/>
        <w:rPr>
          <w:rFonts w:ascii="Arial" w:hAnsi="Arial" w:cs="Arial"/>
          <w:sz w:val="20"/>
          <w:szCs w:val="20"/>
        </w:rPr>
      </w:pPr>
      <w:r w:rsidRPr="004F71DB">
        <w:rPr>
          <w:rFonts w:ascii="Arial" w:hAnsi="Arial" w:cs="Arial"/>
          <w:sz w:val="20"/>
          <w:szCs w:val="20"/>
        </w:rPr>
        <w:t>Itajaí, 15 de agosto de 2016.</w:t>
      </w:r>
    </w:p>
    <w:p w:rsidR="0022211B" w:rsidRDefault="0022211B" w:rsidP="004F71DB">
      <w:pPr>
        <w:pStyle w:val="SemEspaamento"/>
        <w:ind w:firstLine="2127"/>
        <w:jc w:val="center"/>
        <w:rPr>
          <w:rFonts w:ascii="Arial" w:hAnsi="Arial" w:cs="Arial"/>
          <w:sz w:val="20"/>
          <w:szCs w:val="20"/>
        </w:rPr>
      </w:pPr>
    </w:p>
    <w:p w:rsidR="00863CD6" w:rsidRDefault="00863CD6" w:rsidP="004F71DB">
      <w:pPr>
        <w:pStyle w:val="SemEspaamento"/>
        <w:ind w:firstLine="2127"/>
        <w:jc w:val="center"/>
        <w:rPr>
          <w:rFonts w:ascii="Arial" w:hAnsi="Arial" w:cs="Arial"/>
          <w:sz w:val="20"/>
          <w:szCs w:val="20"/>
        </w:rPr>
      </w:pPr>
    </w:p>
    <w:p w:rsidR="00863CD6" w:rsidRDefault="00863CD6" w:rsidP="004F71DB">
      <w:pPr>
        <w:pStyle w:val="SemEspaamento"/>
        <w:ind w:firstLine="2127"/>
        <w:jc w:val="center"/>
        <w:rPr>
          <w:rFonts w:ascii="Arial" w:hAnsi="Arial" w:cs="Arial"/>
          <w:sz w:val="20"/>
          <w:szCs w:val="20"/>
        </w:rPr>
      </w:pPr>
    </w:p>
    <w:p w:rsidR="00676D5D" w:rsidRPr="004F71DB" w:rsidRDefault="00676D5D" w:rsidP="004F71DB">
      <w:pPr>
        <w:pStyle w:val="SemEspaamento"/>
        <w:ind w:firstLine="2127"/>
        <w:jc w:val="center"/>
        <w:rPr>
          <w:rFonts w:ascii="Arial" w:hAnsi="Arial" w:cs="Arial"/>
          <w:sz w:val="20"/>
          <w:szCs w:val="20"/>
        </w:rPr>
      </w:pPr>
    </w:p>
    <w:p w:rsidR="0022211B" w:rsidRPr="004F71DB" w:rsidRDefault="0022211B" w:rsidP="004F71DB">
      <w:pPr>
        <w:pStyle w:val="SemEspaamento"/>
        <w:jc w:val="center"/>
        <w:rPr>
          <w:rFonts w:ascii="Arial" w:hAnsi="Arial" w:cs="Arial"/>
          <w:sz w:val="20"/>
          <w:szCs w:val="20"/>
        </w:rPr>
      </w:pPr>
      <w:r w:rsidRPr="004F71DB">
        <w:rPr>
          <w:rFonts w:ascii="Arial" w:hAnsi="Arial" w:cs="Arial"/>
          <w:sz w:val="20"/>
          <w:szCs w:val="20"/>
        </w:rPr>
        <w:t>Amarildo Madeira</w:t>
      </w:r>
    </w:p>
    <w:p w:rsidR="00D00AFF" w:rsidRPr="004F71DB" w:rsidRDefault="0022211B" w:rsidP="004F71DB">
      <w:pPr>
        <w:pStyle w:val="SemEspaamento"/>
        <w:jc w:val="center"/>
        <w:rPr>
          <w:rFonts w:ascii="Arial" w:hAnsi="Arial" w:cs="Arial"/>
          <w:sz w:val="20"/>
          <w:szCs w:val="20"/>
        </w:rPr>
      </w:pPr>
      <w:r w:rsidRPr="004F71DB">
        <w:rPr>
          <w:rFonts w:ascii="Arial" w:hAnsi="Arial" w:cs="Arial"/>
          <w:sz w:val="20"/>
          <w:szCs w:val="20"/>
        </w:rPr>
        <w:t>Presidente</w:t>
      </w:r>
    </w:p>
    <w:sectPr w:rsidR="00D00AFF" w:rsidRPr="004F71DB" w:rsidSect="008A61C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3CD6" w:rsidRDefault="00863CD6" w:rsidP="00863CD6">
      <w:pPr>
        <w:spacing w:after="0" w:line="240" w:lineRule="auto"/>
      </w:pPr>
      <w:r>
        <w:separator/>
      </w:r>
    </w:p>
  </w:endnote>
  <w:endnote w:type="continuationSeparator" w:id="0">
    <w:p w:rsidR="00863CD6" w:rsidRDefault="00863CD6" w:rsidP="00863C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3CD6" w:rsidRDefault="00863CD6" w:rsidP="00863CD6">
      <w:pPr>
        <w:spacing w:after="0" w:line="240" w:lineRule="auto"/>
      </w:pPr>
      <w:r>
        <w:separator/>
      </w:r>
    </w:p>
  </w:footnote>
  <w:footnote w:type="continuationSeparator" w:id="0">
    <w:p w:rsidR="00863CD6" w:rsidRDefault="00863CD6" w:rsidP="00863C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CD6" w:rsidRDefault="00863CD6">
    <w:pPr>
      <w:pStyle w:val="Cabealho"/>
    </w:pPr>
    <w:r w:rsidRPr="00863CD6">
      <w:drawing>
        <wp:inline distT="0" distB="0" distL="0" distR="0">
          <wp:extent cx="5276850" cy="742950"/>
          <wp:effectExtent l="19050" t="0" r="0" b="0"/>
          <wp:docPr id="2" name="Imagem 2" descr="\\pmi-arquivos\Usuarios\adriano.osmar\Documents\Osmar-12-11-2013\Audiencia Publica\conselho nov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\\pmi-arquivos\Usuarios\adriano.osmar\Documents\Osmar-12-11-2013\Audiencia Publica\conselho novo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685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525B"/>
    <w:rsid w:val="00024970"/>
    <w:rsid w:val="00033D8B"/>
    <w:rsid w:val="00034A86"/>
    <w:rsid w:val="00060845"/>
    <w:rsid w:val="00073FF9"/>
    <w:rsid w:val="000A04FD"/>
    <w:rsid w:val="000A5780"/>
    <w:rsid w:val="000A5A57"/>
    <w:rsid w:val="000A79DB"/>
    <w:rsid w:val="000B6155"/>
    <w:rsid w:val="000C5676"/>
    <w:rsid w:val="000C763A"/>
    <w:rsid w:val="00104FF2"/>
    <w:rsid w:val="00136858"/>
    <w:rsid w:val="0014024C"/>
    <w:rsid w:val="00143CE0"/>
    <w:rsid w:val="00174FE3"/>
    <w:rsid w:val="0018577C"/>
    <w:rsid w:val="00186034"/>
    <w:rsid w:val="001917E7"/>
    <w:rsid w:val="00196CC8"/>
    <w:rsid w:val="001A0D5E"/>
    <w:rsid w:val="001A36F9"/>
    <w:rsid w:val="001D1F3C"/>
    <w:rsid w:val="001D3B33"/>
    <w:rsid w:val="001E68E1"/>
    <w:rsid w:val="00205863"/>
    <w:rsid w:val="00205E5D"/>
    <w:rsid w:val="0022211B"/>
    <w:rsid w:val="00266C8B"/>
    <w:rsid w:val="00287B04"/>
    <w:rsid w:val="00287FDC"/>
    <w:rsid w:val="002B2171"/>
    <w:rsid w:val="0030438E"/>
    <w:rsid w:val="00317235"/>
    <w:rsid w:val="0033525B"/>
    <w:rsid w:val="003354A7"/>
    <w:rsid w:val="00342366"/>
    <w:rsid w:val="00371573"/>
    <w:rsid w:val="00375285"/>
    <w:rsid w:val="00411822"/>
    <w:rsid w:val="00414345"/>
    <w:rsid w:val="00436958"/>
    <w:rsid w:val="004814D4"/>
    <w:rsid w:val="00487D0D"/>
    <w:rsid w:val="00491E56"/>
    <w:rsid w:val="004953A8"/>
    <w:rsid w:val="004A253B"/>
    <w:rsid w:val="004A482C"/>
    <w:rsid w:val="004A4C4E"/>
    <w:rsid w:val="004C3038"/>
    <w:rsid w:val="004C67DD"/>
    <w:rsid w:val="004E433C"/>
    <w:rsid w:val="004E5812"/>
    <w:rsid w:val="004F71DB"/>
    <w:rsid w:val="0054647B"/>
    <w:rsid w:val="00561171"/>
    <w:rsid w:val="00572159"/>
    <w:rsid w:val="005D49C3"/>
    <w:rsid w:val="005E6FFA"/>
    <w:rsid w:val="005F72C2"/>
    <w:rsid w:val="005F7340"/>
    <w:rsid w:val="005F7CA4"/>
    <w:rsid w:val="0060138B"/>
    <w:rsid w:val="0062642B"/>
    <w:rsid w:val="0062738F"/>
    <w:rsid w:val="00632606"/>
    <w:rsid w:val="006556BD"/>
    <w:rsid w:val="00676D5D"/>
    <w:rsid w:val="00686F75"/>
    <w:rsid w:val="006B6F26"/>
    <w:rsid w:val="006C6A43"/>
    <w:rsid w:val="006D515C"/>
    <w:rsid w:val="006D56F4"/>
    <w:rsid w:val="006F41BF"/>
    <w:rsid w:val="00700692"/>
    <w:rsid w:val="007403E4"/>
    <w:rsid w:val="00774DBF"/>
    <w:rsid w:val="007A4D32"/>
    <w:rsid w:val="007B41BD"/>
    <w:rsid w:val="007C7728"/>
    <w:rsid w:val="007D15DE"/>
    <w:rsid w:val="007E62C5"/>
    <w:rsid w:val="00800FD2"/>
    <w:rsid w:val="0080230F"/>
    <w:rsid w:val="008038F7"/>
    <w:rsid w:val="0080721E"/>
    <w:rsid w:val="008226FD"/>
    <w:rsid w:val="008259DD"/>
    <w:rsid w:val="0083400B"/>
    <w:rsid w:val="0084226E"/>
    <w:rsid w:val="00863CD6"/>
    <w:rsid w:val="00875EB0"/>
    <w:rsid w:val="008A61C3"/>
    <w:rsid w:val="008D3325"/>
    <w:rsid w:val="008D3882"/>
    <w:rsid w:val="009351C1"/>
    <w:rsid w:val="009736F8"/>
    <w:rsid w:val="0097788B"/>
    <w:rsid w:val="009970C4"/>
    <w:rsid w:val="009A02DF"/>
    <w:rsid w:val="009F5452"/>
    <w:rsid w:val="00A05257"/>
    <w:rsid w:val="00A2040D"/>
    <w:rsid w:val="00A3793C"/>
    <w:rsid w:val="00A464D1"/>
    <w:rsid w:val="00A90938"/>
    <w:rsid w:val="00A9305A"/>
    <w:rsid w:val="00AA0D0D"/>
    <w:rsid w:val="00AA29BA"/>
    <w:rsid w:val="00AC2886"/>
    <w:rsid w:val="00AD6A8B"/>
    <w:rsid w:val="00AE1F52"/>
    <w:rsid w:val="00B2357E"/>
    <w:rsid w:val="00B67FFA"/>
    <w:rsid w:val="00BB286F"/>
    <w:rsid w:val="00BC5FCC"/>
    <w:rsid w:val="00BD2C48"/>
    <w:rsid w:val="00C1460A"/>
    <w:rsid w:val="00C318B9"/>
    <w:rsid w:val="00C34408"/>
    <w:rsid w:val="00C557C4"/>
    <w:rsid w:val="00C55A6C"/>
    <w:rsid w:val="00C90FE4"/>
    <w:rsid w:val="00C914E2"/>
    <w:rsid w:val="00CB2E73"/>
    <w:rsid w:val="00CD2FC1"/>
    <w:rsid w:val="00D00AFF"/>
    <w:rsid w:val="00D01FF9"/>
    <w:rsid w:val="00D26066"/>
    <w:rsid w:val="00D43F60"/>
    <w:rsid w:val="00D5129D"/>
    <w:rsid w:val="00D63D75"/>
    <w:rsid w:val="00D65BD6"/>
    <w:rsid w:val="00D663DA"/>
    <w:rsid w:val="00D81C5E"/>
    <w:rsid w:val="00D9081C"/>
    <w:rsid w:val="00DB6632"/>
    <w:rsid w:val="00DD1D1D"/>
    <w:rsid w:val="00E13458"/>
    <w:rsid w:val="00E31C50"/>
    <w:rsid w:val="00E41C7C"/>
    <w:rsid w:val="00E506EA"/>
    <w:rsid w:val="00E649B3"/>
    <w:rsid w:val="00E736D3"/>
    <w:rsid w:val="00E80686"/>
    <w:rsid w:val="00E8077F"/>
    <w:rsid w:val="00ED7DEF"/>
    <w:rsid w:val="00EE67FA"/>
    <w:rsid w:val="00F03165"/>
    <w:rsid w:val="00F260CA"/>
    <w:rsid w:val="00F935DB"/>
    <w:rsid w:val="00F963C5"/>
    <w:rsid w:val="00F9718D"/>
    <w:rsid w:val="00FA098B"/>
    <w:rsid w:val="00FA657B"/>
    <w:rsid w:val="00FB7E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863C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63CD6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semiHidden/>
    <w:unhideWhenUsed/>
    <w:rsid w:val="00863C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63CD6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338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ferrari.rossana</cp:lastModifiedBy>
  <cp:revision>14</cp:revision>
  <cp:lastPrinted>2016-12-20T20:23:00Z</cp:lastPrinted>
  <dcterms:created xsi:type="dcterms:W3CDTF">2016-08-12T17:46:00Z</dcterms:created>
  <dcterms:modified xsi:type="dcterms:W3CDTF">2016-12-20T20:57:00Z</dcterms:modified>
</cp:coreProperties>
</file>